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A0" w:rsidRPr="00BA71A0" w:rsidRDefault="00BA71A0" w:rsidP="00BA71A0">
      <w:r w:rsidRPr="00BA71A0">
        <w:rPr>
          <w:b/>
          <w:bCs/>
        </w:rPr>
        <w:t>Πίνακας συμμόρφωσης</w:t>
      </w:r>
    </w:p>
    <w:p w:rsidR="00BA71A0" w:rsidRPr="00BA71A0" w:rsidRDefault="00BA71A0" w:rsidP="00BA71A0"/>
    <w:p w:rsidR="00BA71A0" w:rsidRPr="00BA71A0" w:rsidRDefault="00BA71A0" w:rsidP="00BA71A0">
      <w:r w:rsidRPr="00BA71A0">
        <w:t xml:space="preserve">  Μ  Ο υποψήφιος Ανάδοχος συμπληρώνει τις απαντήσεις στις απαιτήσεις των τεχνικών προδιαγραφών με την απόλυτη ευθύνη της ακρίβειας των δεδομένων. Ακολουθεί η εκτύπωση των τεχνικών προδιαγραφών από το Ε.Σ.Η.ΔΗ.Σ. όπως προέκυψε από την επιλογή για εκτύπωση σε μορφή RTF ακολουθώντας την παρακάτω </w:t>
      </w:r>
      <w:proofErr w:type="spellStart"/>
      <w:r w:rsidRPr="00BA71A0">
        <w:t>αριθμοδότηση</w:t>
      </w:r>
      <w:proofErr w:type="spellEnd"/>
      <w:r w:rsidRPr="00BA71A0"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4894"/>
      </w:tblGrid>
      <w:tr w:rsidR="00BA71A0" w:rsidRPr="00BA71A0" w:rsidTr="0042096E">
        <w:trPr>
          <w:trHeight w:val="110"/>
        </w:trPr>
        <w:tc>
          <w:tcPr>
            <w:tcW w:w="4894" w:type="dxa"/>
          </w:tcPr>
          <w:p w:rsidR="00BA71A0" w:rsidRPr="00BA71A0" w:rsidRDefault="00BA71A0" w:rsidP="00BA71A0">
            <w:r w:rsidRPr="00BA71A0">
              <w:t>Τα στοιχεία του Πίνακα φέρουν τις ακόλουθες ερμηνείες</w:t>
            </w:r>
          </w:p>
          <w:p w:rsidR="00BA71A0" w:rsidRPr="00BA71A0" w:rsidRDefault="00BA71A0" w:rsidP="00BA71A0">
            <w:r w:rsidRPr="00BA71A0">
              <w:t xml:space="preserve">: </w:t>
            </w:r>
            <w:r w:rsidRPr="00BA71A0">
              <w:rPr>
                <w:b/>
                <w:bCs/>
              </w:rPr>
              <w:t xml:space="preserve">Στήλη </w:t>
            </w:r>
          </w:p>
        </w:tc>
        <w:tc>
          <w:tcPr>
            <w:tcW w:w="4894" w:type="dxa"/>
          </w:tcPr>
          <w:p w:rsidR="00BA71A0" w:rsidRPr="00BA71A0" w:rsidRDefault="00BA71A0" w:rsidP="00BA71A0">
            <w:r w:rsidRPr="00BA71A0">
              <w:rPr>
                <w:b/>
                <w:bCs/>
              </w:rPr>
              <w:t xml:space="preserve">Επεξήγηση </w:t>
            </w:r>
          </w:p>
        </w:tc>
      </w:tr>
      <w:tr w:rsidR="00BA71A0" w:rsidRPr="00BA71A0" w:rsidTr="0042096E">
        <w:trPr>
          <w:trHeight w:val="379"/>
        </w:trPr>
        <w:tc>
          <w:tcPr>
            <w:tcW w:w="4894" w:type="dxa"/>
          </w:tcPr>
          <w:p w:rsidR="00BA71A0" w:rsidRPr="00BA71A0" w:rsidRDefault="00BA71A0" w:rsidP="00BA71A0">
            <w:r w:rsidRPr="00BA71A0">
              <w:rPr>
                <w:b/>
                <w:bCs/>
              </w:rPr>
              <w:t xml:space="preserve">ΧΑΡΑΚΤΗΡΙΣΤΙΚΑ </w:t>
            </w:r>
          </w:p>
        </w:tc>
        <w:tc>
          <w:tcPr>
            <w:tcW w:w="4894" w:type="dxa"/>
          </w:tcPr>
          <w:p w:rsidR="00BA71A0" w:rsidRPr="00BA71A0" w:rsidRDefault="00BA71A0" w:rsidP="00BA71A0">
            <w:r w:rsidRPr="00BA71A0">
              <w:t xml:space="preserve">Στη στήλη αυτή περιγράφονται αναλυτικά οι αντίστοιχοι τεχνικοί, επιχειρησιακοί και λοιποί όροι, υποχρεώσεις ή επεξηγήσεις, για τα οποία θα πρέπει να δοθούν αντίστοιχες απαντήσεις. </w:t>
            </w:r>
          </w:p>
        </w:tc>
      </w:tr>
      <w:tr w:rsidR="00BA71A0" w:rsidRPr="00BA71A0" w:rsidTr="0042096E">
        <w:trPr>
          <w:trHeight w:val="915"/>
        </w:trPr>
        <w:tc>
          <w:tcPr>
            <w:tcW w:w="4894" w:type="dxa"/>
          </w:tcPr>
          <w:p w:rsidR="00BA71A0" w:rsidRPr="00BA71A0" w:rsidRDefault="00BA71A0" w:rsidP="00BA71A0">
            <w:r w:rsidRPr="00BA71A0">
              <w:rPr>
                <w:b/>
                <w:bCs/>
              </w:rPr>
              <w:t xml:space="preserve">ΑΠΑΙΤΗΣΗ </w:t>
            </w:r>
          </w:p>
        </w:tc>
        <w:tc>
          <w:tcPr>
            <w:tcW w:w="4894" w:type="dxa"/>
          </w:tcPr>
          <w:p w:rsidR="00BA71A0" w:rsidRPr="00BA71A0" w:rsidRDefault="00BA71A0" w:rsidP="00BA71A0">
            <w:r w:rsidRPr="00BA71A0">
              <w:t xml:space="preserve">Στη στήλη αυτή έχουν συμπληρωθεί: </w:t>
            </w:r>
          </w:p>
          <w:p w:rsidR="00BA71A0" w:rsidRPr="00BA71A0" w:rsidRDefault="00BA71A0" w:rsidP="00BA71A0">
            <w:r w:rsidRPr="00BA71A0">
              <w:t xml:space="preserve">1. Η λέξη “ΝΑΙ”, που σημαίνει ότι η αντίστοιχη προδιαγραφή είναι υποχρεωτική για τον ανάδοχο. </w:t>
            </w:r>
          </w:p>
          <w:p w:rsidR="00BA71A0" w:rsidRPr="00BA71A0" w:rsidRDefault="00BA71A0" w:rsidP="00BA71A0">
            <w:r w:rsidRPr="00BA71A0">
              <w:t xml:space="preserve">2. Ένας αριθμός που σημαίνει υποχρεωτικό αριθμητικό μέγεθος της προδιαγραφής (μέγιστο ή ελάχιστο). </w:t>
            </w:r>
          </w:p>
          <w:p w:rsidR="00BA71A0" w:rsidRPr="00BA71A0" w:rsidRDefault="00BA71A0" w:rsidP="00BA71A0">
            <w:r w:rsidRPr="00BA71A0">
              <w:t xml:space="preserve">Η μη τήρηση των ανωτέρω, συνεπάγεται την απόρριψη της προσφοράς. </w:t>
            </w:r>
          </w:p>
          <w:p w:rsidR="00BA71A0" w:rsidRPr="00BA71A0" w:rsidRDefault="00BA71A0" w:rsidP="00BA71A0">
            <w:r w:rsidRPr="00BA71A0">
              <w:t xml:space="preserve">3. Κενό, για μη υποχρεωτική/ προαιρετική απαίτηση </w:t>
            </w:r>
          </w:p>
        </w:tc>
      </w:tr>
      <w:tr w:rsidR="00BA71A0" w:rsidRPr="00BA71A0" w:rsidTr="0042096E">
        <w:trPr>
          <w:trHeight w:val="646"/>
        </w:trPr>
        <w:tc>
          <w:tcPr>
            <w:tcW w:w="4894" w:type="dxa"/>
          </w:tcPr>
          <w:p w:rsidR="00BA71A0" w:rsidRPr="00BA71A0" w:rsidRDefault="00BA71A0" w:rsidP="00BA71A0">
            <w:r w:rsidRPr="00BA71A0">
              <w:rPr>
                <w:b/>
                <w:bCs/>
              </w:rPr>
              <w:t xml:space="preserve">ΑΠΑΝΤΗΣΗ </w:t>
            </w:r>
          </w:p>
        </w:tc>
        <w:tc>
          <w:tcPr>
            <w:tcW w:w="4894" w:type="dxa"/>
          </w:tcPr>
          <w:p w:rsidR="00BA71A0" w:rsidRPr="00BA71A0" w:rsidRDefault="00BA71A0" w:rsidP="00BA71A0">
            <w:r w:rsidRPr="00BA71A0">
              <w:t xml:space="preserve">Με ποινή αποκλεισμού, στη στήλη αυτή σημειώνεται η απάντηση του προμηθευτή που έχει την μορφή: </w:t>
            </w:r>
          </w:p>
          <w:p w:rsidR="00BA71A0" w:rsidRPr="00BA71A0" w:rsidRDefault="00BA71A0" w:rsidP="00BA71A0">
            <w:r w:rsidRPr="00BA71A0">
              <w:t xml:space="preserve">1. ΝΑΙ ή ΟΧΙ εάν η αντίστοιχη προδιαγραφή πληρούται ή όχι από την προσφορά. </w:t>
            </w:r>
          </w:p>
          <w:p w:rsidR="00BA71A0" w:rsidRPr="00BA71A0" w:rsidRDefault="00BA71A0" w:rsidP="00BA71A0">
            <w:r w:rsidRPr="00BA71A0">
              <w:t xml:space="preserve">2. Ένα αριθμητικό μέγεθος που δηλώνει την ποσότητα του αντίστοιχου χαρακτηριστικού στην προσφορά. </w:t>
            </w:r>
          </w:p>
        </w:tc>
      </w:tr>
      <w:tr w:rsidR="00BA71A0" w:rsidRPr="00BA71A0" w:rsidTr="0042096E">
        <w:trPr>
          <w:trHeight w:val="647"/>
        </w:trPr>
        <w:tc>
          <w:tcPr>
            <w:tcW w:w="4894" w:type="dxa"/>
          </w:tcPr>
          <w:p w:rsidR="00BA71A0" w:rsidRPr="00BA71A0" w:rsidRDefault="00BA71A0" w:rsidP="00BA71A0">
            <w:r w:rsidRPr="00BA71A0">
              <w:rPr>
                <w:b/>
                <w:bCs/>
              </w:rPr>
              <w:t xml:space="preserve">ΠΑΡΑΠΟΜΠΗ </w:t>
            </w:r>
          </w:p>
        </w:tc>
        <w:tc>
          <w:tcPr>
            <w:tcW w:w="4894" w:type="dxa"/>
          </w:tcPr>
          <w:p w:rsidR="00BA71A0" w:rsidRPr="00BA71A0" w:rsidRDefault="00BA71A0" w:rsidP="00BA71A0">
            <w:r w:rsidRPr="00BA71A0">
              <w:t xml:space="preserve">Στη στήλη αυτή σημειώνεται η παραπομπή στην προσφορά του προμηθευτή. </w:t>
            </w:r>
          </w:p>
          <w:p w:rsidR="00BA71A0" w:rsidRPr="00BA71A0" w:rsidRDefault="00BA71A0" w:rsidP="00BA71A0">
            <w:r w:rsidRPr="00BA71A0">
              <w:t xml:space="preserve">Συγκεκριμένα, στη στήλη αυτή αναγράφεται: αύξων αριθμός, σελίδα και στίχος, κεφαλαίου της </w:t>
            </w:r>
            <w:r w:rsidRPr="00BA71A0">
              <w:lastRenderedPageBreak/>
              <w:t xml:space="preserve">τεχνικής προσφοράς του προμηθευτή, τεχνικού εγχειριδίου, εγγράφου ή δημοσιεύματος με το οποίο υποστηρίζονται σημειωθείσες πληροφορίες στις προηγούμενες στήλες. </w:t>
            </w:r>
          </w:p>
        </w:tc>
      </w:tr>
    </w:tbl>
    <w:p w:rsidR="00BA71A0" w:rsidRPr="00BA71A0" w:rsidRDefault="00BA71A0" w:rsidP="00BA71A0"/>
    <w:p w:rsidR="00BA71A0" w:rsidRPr="00BA71A0" w:rsidRDefault="00BA71A0" w:rsidP="00BA71A0">
      <w:r w:rsidRPr="00BA71A0">
        <w:t xml:space="preserve"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4, κ.λπ.). Αντίστοιχα στο τεχνικό φυλλάδιο ή στη σχετική αναφορά, μεθοδολογικό εργαλείο, τεχνική κ.λπ.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(π.χ. </w:t>
      </w:r>
      <w:proofErr w:type="spellStart"/>
      <w:r w:rsidRPr="00BA71A0">
        <w:t>Προδ</w:t>
      </w:r>
      <w:proofErr w:type="spellEnd"/>
      <w:r w:rsidRPr="00BA71A0">
        <w:t>. 4.18). Η μη συμπλήρωση κάποιου από τα ανωτέρω δεν συνεπάγεται αποκλεισμό, εφόσον η Επιτροπή Αξιολόγησης είναι σε θέση να βρει την παραπομπή στην προσφορά είτε από μόνη της είτε μετά από ερώτημα προς τον προσφέροντα.</w:t>
      </w:r>
    </w:p>
    <w:p w:rsidR="00BA71A0" w:rsidRPr="00BA71A0" w:rsidRDefault="00BA71A0" w:rsidP="00BA71A0">
      <w:r w:rsidRPr="00BA71A0">
        <w:t>Η αρμόδια Επιτροπή θα αξιολογήσει τα παρεχόμενα από τους υποψηφίους Αναδόχους στοιχεία κατά την αξιολόγηση των Τεχνικών Προσφορών.</w:t>
      </w:r>
    </w:p>
    <w:p w:rsidR="00BA71A0" w:rsidRPr="00BA71A0" w:rsidRDefault="00BA71A0" w:rsidP="00BA71A0">
      <w:r w:rsidRPr="00BA71A0">
        <w:t>Εάν δεν είναι δυνατόν να βρεθεί η παραπομπή με τον τρόπο που περιγράφεται ανωτέρω, η προσφορά απορρίπτεται.</w:t>
      </w:r>
    </w:p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p w:rsidR="00BA71A0" w:rsidRPr="00BA71A0" w:rsidRDefault="00BA71A0" w:rsidP="00BA71A0"/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503"/>
        <w:gridCol w:w="1500"/>
        <w:gridCol w:w="1620"/>
      </w:tblGrid>
      <w:tr w:rsidR="00BA71A0" w:rsidRPr="00BA71A0" w:rsidTr="0042096E">
        <w:trPr>
          <w:trHeight w:val="438"/>
        </w:trPr>
        <w:tc>
          <w:tcPr>
            <w:tcW w:w="3935" w:type="dxa"/>
            <w:shd w:val="clear" w:color="auto" w:fill="C0C0C0"/>
          </w:tcPr>
          <w:p w:rsidR="00BA71A0" w:rsidRPr="00BA71A0" w:rsidRDefault="00BA71A0" w:rsidP="00BA71A0">
            <w:pPr>
              <w:rPr>
                <w:b/>
                <w:bCs/>
              </w:rPr>
            </w:pPr>
            <w:r w:rsidRPr="00BA71A0">
              <w:rPr>
                <w:b/>
                <w:bCs/>
              </w:rPr>
              <w:t xml:space="preserve">ΧΑΡΑΚΤHΡΙΣΤΙΚΑ </w:t>
            </w:r>
          </w:p>
        </w:tc>
        <w:tc>
          <w:tcPr>
            <w:tcW w:w="1503" w:type="dxa"/>
            <w:shd w:val="clear" w:color="auto" w:fill="C0C0C0"/>
          </w:tcPr>
          <w:p w:rsidR="00BA71A0" w:rsidRPr="00BA71A0" w:rsidRDefault="00BA71A0" w:rsidP="00BA71A0">
            <w:pPr>
              <w:rPr>
                <w:b/>
                <w:bCs/>
              </w:rPr>
            </w:pPr>
            <w:r w:rsidRPr="00BA71A0">
              <w:rPr>
                <w:b/>
                <w:bCs/>
              </w:rPr>
              <w:t xml:space="preserve">ΑΠΑΙΤΗΣΗ </w:t>
            </w:r>
          </w:p>
        </w:tc>
        <w:tc>
          <w:tcPr>
            <w:tcW w:w="1500" w:type="dxa"/>
            <w:shd w:val="clear" w:color="auto" w:fill="C0C0C0"/>
          </w:tcPr>
          <w:p w:rsidR="00BA71A0" w:rsidRPr="00BA71A0" w:rsidRDefault="00BA71A0" w:rsidP="00BA71A0">
            <w:pPr>
              <w:rPr>
                <w:b/>
                <w:bCs/>
              </w:rPr>
            </w:pPr>
            <w:r w:rsidRPr="00BA71A0">
              <w:rPr>
                <w:b/>
                <w:bCs/>
              </w:rPr>
              <w:t xml:space="preserve">ΑΠΑΝΤΗΣΗ </w:t>
            </w:r>
          </w:p>
        </w:tc>
        <w:tc>
          <w:tcPr>
            <w:tcW w:w="1620" w:type="dxa"/>
            <w:shd w:val="clear" w:color="auto" w:fill="C0C0C0"/>
          </w:tcPr>
          <w:p w:rsidR="00BA71A0" w:rsidRPr="00BA71A0" w:rsidRDefault="00BA71A0" w:rsidP="00BA71A0">
            <w:pPr>
              <w:rPr>
                <w:b/>
                <w:bCs/>
              </w:rPr>
            </w:pPr>
            <w:r w:rsidRPr="00BA71A0">
              <w:rPr>
                <w:b/>
                <w:bCs/>
              </w:rPr>
              <w:t xml:space="preserve">ΠΑΡΑΠΟΜΠΗ </w:t>
            </w: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pPr>
              <w:rPr>
                <w:b/>
                <w:bCs/>
              </w:rPr>
            </w:pPr>
            <w:r w:rsidRPr="00BA71A0">
              <w:rPr>
                <w:b/>
                <w:bCs/>
              </w:rPr>
              <w:t xml:space="preserve">ΓΕΝΙΚΕΣ ΑΠΑΙΤΗΣΕΙΣ </w:t>
            </w:r>
          </w:p>
        </w:tc>
        <w:tc>
          <w:tcPr>
            <w:tcW w:w="1503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1. Να τηρούνται οι αρχές της ενότητας 1.7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2. Να πληρούνται οι προϋποθέσεις της ενότητας 2.2.1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3. Να προσκομίζεται η εγγυητική επιστολή συμμετοχής της ενότητας 2.2.2 </w:t>
            </w:r>
          </w:p>
        </w:tc>
        <w:tc>
          <w:tcPr>
            <w:tcW w:w="1503" w:type="dxa"/>
          </w:tcPr>
          <w:p w:rsidR="00BA71A0" w:rsidRPr="00BA71A0" w:rsidRDefault="00BA71A0" w:rsidP="00BA71A0">
            <w:pPr>
              <w:rPr>
                <w:lang w:val="en-GB"/>
              </w:rPr>
            </w:pPr>
            <w:r w:rsidRPr="00BA71A0">
              <w:rPr>
                <w:lang w:val="en-GB"/>
              </w:rPr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4. Να μην συντρέχουν οι περιπτώσεις της ενότητας 2.2.3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5. Να πληρούνται οι προϋποθέσεις της ενότητας 2.2.4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6. Να πληρούνται οι προϋποθέσεις της ενότητας 2.2.5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7. Να πληρούνται οι προϋποθέσεις της ενότητας 2.2.6 </w:t>
            </w:r>
          </w:p>
        </w:tc>
        <w:tc>
          <w:tcPr>
            <w:tcW w:w="1503" w:type="dxa"/>
          </w:tcPr>
          <w:p w:rsidR="00BA71A0" w:rsidRPr="00BA71A0" w:rsidRDefault="00BA71A0" w:rsidP="00BA71A0">
            <w:pPr>
              <w:rPr>
                <w:lang w:val="en-GB"/>
              </w:rPr>
            </w:pPr>
            <w:r w:rsidRPr="00BA71A0">
              <w:rPr>
                <w:lang w:val="en-GB"/>
              </w:rPr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8. Να προσκομίζεται το ΤΕΥΔ. της ενότητας 2.4.3.1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pPr>
              <w:rPr>
                <w:b/>
                <w:bCs/>
              </w:rPr>
            </w:pPr>
            <w:r w:rsidRPr="00BA71A0">
              <w:rPr>
                <w:b/>
                <w:bCs/>
              </w:rPr>
              <w:t xml:space="preserve">ΤΕΧΝΙΚΕΣ ΠΡΟΔΙΑΓΡΑΦΕΣ </w:t>
            </w:r>
          </w:p>
        </w:tc>
        <w:tc>
          <w:tcPr>
            <w:tcW w:w="1503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>1.Όπως περιγράφονται στην Τεχνική Έκθεση του Παραρτήματος ΙΙ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2.Ο υποψήφιος ανάδοχος παρέχει τις υπηρεσίες του (αποκομιδή και μεταφορά) από τις Δ.Κ. του Δήμου Ορχομενού προς τους χώρος απόθεσης ή μεταφόρτωσης σύμφωνα με την υπ. </w:t>
            </w:r>
            <w:proofErr w:type="spellStart"/>
            <w:r w:rsidRPr="00BA71A0">
              <w:t>Αρθ</w:t>
            </w:r>
            <w:proofErr w:type="spellEnd"/>
            <w:r w:rsidRPr="00BA71A0">
              <w:t>.   11/2019 μελέτη του Δ. Ορχομενού</w:t>
            </w:r>
          </w:p>
          <w:p w:rsidR="00BA71A0" w:rsidRPr="00BA71A0" w:rsidRDefault="00BA71A0" w:rsidP="00BA71A0"/>
          <w:p w:rsidR="00BA71A0" w:rsidRPr="00BA71A0" w:rsidRDefault="00BA71A0" w:rsidP="00BA71A0"/>
        </w:tc>
        <w:tc>
          <w:tcPr>
            <w:tcW w:w="1503" w:type="dxa"/>
          </w:tcPr>
          <w:p w:rsidR="00BA71A0" w:rsidRPr="00BA71A0" w:rsidRDefault="00BA71A0" w:rsidP="00BA71A0">
            <w:r w:rsidRPr="00BA71A0">
              <w:t>ΝΑΙ</w:t>
            </w:r>
          </w:p>
        </w:tc>
        <w:tc>
          <w:tcPr>
            <w:tcW w:w="1500" w:type="dxa"/>
          </w:tcPr>
          <w:p w:rsidR="00BA71A0" w:rsidRPr="00BA71A0" w:rsidRDefault="00BA71A0" w:rsidP="00BA71A0"/>
        </w:tc>
        <w:tc>
          <w:tcPr>
            <w:tcW w:w="1620" w:type="dxa"/>
          </w:tcPr>
          <w:p w:rsidR="00BA71A0" w:rsidRPr="00BA71A0" w:rsidRDefault="00BA71A0" w:rsidP="00BA71A0"/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lastRenderedPageBreak/>
              <w:t xml:space="preserve">3. Ο υποψήφιος ανάδοχος διαθέτει τα οχήματα προδιαγραφών </w:t>
            </w:r>
          </w:p>
          <w:p w:rsidR="00BA71A0" w:rsidRPr="00BA71A0" w:rsidRDefault="00BA71A0" w:rsidP="00BA71A0">
            <w:r w:rsidRPr="00BA71A0">
              <w:rPr>
                <w:b/>
              </w:rPr>
              <w:t>ΟΜΑΔΑ Α</w:t>
            </w:r>
          </w:p>
          <w:p w:rsidR="00BA71A0" w:rsidRPr="00BA71A0" w:rsidRDefault="00BA71A0" w:rsidP="00BA71A0">
            <w:r w:rsidRPr="00BA71A0">
              <w:t xml:space="preserve">1) </w:t>
            </w:r>
            <w:r w:rsidRPr="00BA71A0">
              <w:rPr>
                <w:b/>
              </w:rPr>
              <w:t>Δημοτική Ενότητα Ορχομενού</w:t>
            </w:r>
            <w:r w:rsidRPr="00BA71A0">
              <w:t xml:space="preserve"> 1ο)Πλάτος αμαξώματος μικρότερο ή ίσο των 2,10 μέτρων.</w:t>
            </w:r>
          </w:p>
          <w:p w:rsidR="00BA71A0" w:rsidRPr="00BA71A0" w:rsidRDefault="00BA71A0" w:rsidP="00BA71A0">
            <w:r w:rsidRPr="00BA71A0">
              <w:t xml:space="preserve">    Μήκος μεταξονίου μικρότερο ή ίσο των 3,70 μέτρων.</w:t>
            </w:r>
          </w:p>
          <w:p w:rsidR="00BA71A0" w:rsidRPr="00BA71A0" w:rsidRDefault="00BA71A0" w:rsidP="00BA71A0">
            <w:r w:rsidRPr="00BA71A0">
              <w:t>2ο) Πλάτος  αμαξώματος  μικρότερο η ίσο  των   2,,20  μέτρων</w:t>
            </w:r>
          </w:p>
          <w:p w:rsidR="00BA71A0" w:rsidRPr="00BA71A0" w:rsidRDefault="00BA71A0" w:rsidP="00BA71A0">
            <w:r w:rsidRPr="00BA71A0">
              <w:t xml:space="preserve">   Μήκος μεταξονίου μικρότερο ή ίσο των 4,00 μέτρων.</w:t>
            </w:r>
          </w:p>
          <w:p w:rsidR="00BA71A0" w:rsidRPr="00BA71A0" w:rsidRDefault="00BA71A0" w:rsidP="00BA71A0">
            <w:pPr>
              <w:rPr>
                <w:b/>
              </w:rPr>
            </w:pPr>
            <w:r w:rsidRPr="00BA71A0">
              <w:t>2)</w:t>
            </w:r>
            <w:r w:rsidRPr="00BA71A0">
              <w:rPr>
                <w:b/>
              </w:rPr>
              <w:t>Δημοτική Ενότητα Ακραιφνίας</w:t>
            </w:r>
          </w:p>
          <w:p w:rsidR="00BA71A0" w:rsidRPr="00BA71A0" w:rsidRDefault="00BA71A0" w:rsidP="00BA71A0">
            <w:r w:rsidRPr="00BA71A0">
              <w:t>1ο) Πλάτος αμαξώματος μικρότερο ή ίσο των 2,10 μέτρων.</w:t>
            </w:r>
          </w:p>
          <w:p w:rsidR="00BA71A0" w:rsidRPr="00BA71A0" w:rsidRDefault="00BA71A0" w:rsidP="00BA71A0">
            <w:r w:rsidRPr="00BA71A0">
              <w:t xml:space="preserve">    Μήκος μεταξονίου μικρότερο ή ίσο των 3,70 μέτρων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4. Ο υποψήφιος ανάδοχος διαθέτει τα οχήματα προδιαγραφών </w:t>
            </w:r>
            <w:r w:rsidRPr="00BA71A0">
              <w:rPr>
                <w:b/>
              </w:rPr>
              <w:t>ΟΜΑΔΑ Β</w:t>
            </w:r>
          </w:p>
          <w:p w:rsidR="00BA71A0" w:rsidRPr="00BA71A0" w:rsidRDefault="00BA71A0" w:rsidP="00BA71A0">
            <w:r w:rsidRPr="00BA71A0">
              <w:t>1)</w:t>
            </w:r>
            <w:r w:rsidRPr="00BA71A0">
              <w:tab/>
            </w:r>
            <w:r w:rsidRPr="00BA71A0">
              <w:rPr>
                <w:b/>
              </w:rPr>
              <w:t>Δημοτική Ενότητα Ορχομενού και Ακραιφνίας</w:t>
            </w:r>
            <w:r w:rsidRPr="00BA71A0">
              <w:t xml:space="preserve"> ανακυκλώσιμα</w:t>
            </w:r>
          </w:p>
          <w:p w:rsidR="00BA71A0" w:rsidRPr="00BA71A0" w:rsidRDefault="00BA71A0" w:rsidP="00BA71A0">
            <w:r w:rsidRPr="00BA71A0">
              <w:t>1ο)Πλάτος αμαξώματος μικρότερο ή ίσο των 2,10 μέτρων.</w:t>
            </w:r>
          </w:p>
          <w:p w:rsidR="00BA71A0" w:rsidRPr="00BA71A0" w:rsidRDefault="00BA71A0" w:rsidP="00BA71A0">
            <w:r w:rsidRPr="00BA71A0">
              <w:t xml:space="preserve">    Μήκος μεταξονίου μικρότερο ή ίσο των 3,70 μέτρων.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6. Το προσωπικό καθαριότητας τηρεί τις υποχρεώσεις που περιγράφονται στην ενότητα Α.2.1.2 της Διακήρυξης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7. Ο υποψήφιος ανάδοχος τηρεί τους κανονισμούς υγιεινής και ασφάλειας που περιγράφονται στην Διακήρυξης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8. Ο υποψήφιος ανάδοχος εξασφαλίζει την διαθεσιμότητα, πληρότητα και ποιότητα των υπηρεσιών της Διακήρυξης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lastRenderedPageBreak/>
              <w:t xml:space="preserve">9. Ο υποψήφιος ανάδοχος παρέχει τις υπηρεσίες του για το χρονικό διάστημα που περιγράφεται στην Διακήρυξης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10. Ο υποψήφιος ανάδοχος παρέχει τις υπηρεσίες του στη διεύθυνση που περιγράφεται στην ενότητα Α.2.6 της Διακήρυξης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  <w:tr w:rsidR="00BA71A0" w:rsidRPr="00BA71A0" w:rsidTr="0042096E">
        <w:trPr>
          <w:trHeight w:val="438"/>
        </w:trPr>
        <w:tc>
          <w:tcPr>
            <w:tcW w:w="3935" w:type="dxa"/>
          </w:tcPr>
          <w:p w:rsidR="00BA71A0" w:rsidRPr="00BA71A0" w:rsidRDefault="00BA71A0" w:rsidP="00BA71A0">
            <w:r w:rsidRPr="00BA71A0">
              <w:t xml:space="preserve">11. Ο υποψήφιος ανάδοχος εφαρμόζει ενιαία πολιτική ασφάλειας σύμφωνα με την ενότητα Α.2.7.1 της Διακήρυξης </w:t>
            </w:r>
          </w:p>
        </w:tc>
        <w:tc>
          <w:tcPr>
            <w:tcW w:w="1503" w:type="dxa"/>
          </w:tcPr>
          <w:p w:rsidR="00BA71A0" w:rsidRPr="00BA71A0" w:rsidRDefault="00BA71A0" w:rsidP="00BA71A0">
            <w:r w:rsidRPr="00BA71A0">
              <w:t xml:space="preserve">ΝΑΙ </w:t>
            </w:r>
          </w:p>
        </w:tc>
        <w:tc>
          <w:tcPr>
            <w:tcW w:w="150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BA71A0" w:rsidRPr="00BA71A0" w:rsidRDefault="00BA71A0" w:rsidP="00BA71A0">
            <w:pPr>
              <w:rPr>
                <w:lang w:val="en-GB"/>
              </w:rPr>
            </w:pPr>
          </w:p>
        </w:tc>
      </w:tr>
    </w:tbl>
    <w:p w:rsidR="00246EE3" w:rsidRDefault="00246EE3">
      <w:bookmarkStart w:id="0" w:name="_GoBack"/>
      <w:bookmarkEnd w:id="0"/>
    </w:p>
    <w:sectPr w:rsidR="00246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0"/>
    <w:rsid w:val="00246EE3"/>
    <w:rsid w:val="00B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Tzouvelekis</dc:creator>
  <cp:lastModifiedBy>Dimitris Tzouvelekis</cp:lastModifiedBy>
  <cp:revision>1</cp:revision>
  <dcterms:created xsi:type="dcterms:W3CDTF">2019-10-30T09:27:00Z</dcterms:created>
  <dcterms:modified xsi:type="dcterms:W3CDTF">2019-10-30T09:27:00Z</dcterms:modified>
</cp:coreProperties>
</file>